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eastAsia="仿宋_GB2312"/>
                <w:vertAlign w:val="baseline"/>
                <w:lang w:val="en-US" w:eastAsia="zh-CN"/>
              </w:rPr>
              <w:t>体外冲击波治疗仪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1FB9A1F">
            <w:pPr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用于急慢性软组织损伤、颈肩腰腿疼、骨关节疾病、神经源性疾病及创面修复等疾病的辅助治疗。</w:t>
            </w:r>
          </w:p>
          <w:p w14:paraId="02E17467">
            <w:pPr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≥12.1寸液晶触摸屏操作显示。</w:t>
            </w:r>
          </w:p>
          <w:p w14:paraId="3669B32D">
            <w:pPr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双通道输出，可同时使用2把冲击手枪，每个通道可独立调节。</w:t>
            </w:r>
          </w:p>
          <w:p w14:paraId="4DD914CF">
            <w:pPr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具有单次冲击和连续冲击模式。</w:t>
            </w:r>
          </w:p>
          <w:p w14:paraId="7C346E16">
            <w:pPr>
              <w:widowControl w:val="0"/>
              <w:numPr>
                <w:ilvl w:val="0"/>
                <w:numId w:val="0"/>
              </w:numPr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napToGrid w:val="0"/>
                <w:color w:val="000000"/>
                <w:spacing w:val="0"/>
                <w:w w:val="100"/>
                <w:kern w:val="0"/>
                <w:sz w:val="24"/>
                <w:szCs w:val="24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冲击次数可调，调节步进100次，最大设定冲击次数≥9000次。</w:t>
            </w:r>
          </w:p>
          <w:p w14:paraId="20D15802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6.工作压力可调：最小工作压力≤1bar，最大工作压力≥5.5bar，调节步进值0.1bar。</w:t>
            </w:r>
          </w:p>
          <w:p w14:paraId="6D92CCF1">
            <w:pPr>
              <w:widowControl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7.最大输出能量：≥210mJ。</w:t>
            </w:r>
          </w:p>
          <w:p w14:paraId="00E8C9CE">
            <w:pPr>
              <w:widowControl w:val="0"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8.最大能量密度：≥7mJ/mm²±0.2mJ/mm²。</w:t>
            </w:r>
          </w:p>
          <w:p w14:paraId="3B934B32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9.冲击频率可调，最小冲击频率≤1Hz，最大冲击频率≥25Hz，调节步进0.5Hz。</w:t>
            </w:r>
          </w:p>
          <w:p w14:paraId="19517B4A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10.治疗枪具有减振功能。</w:t>
            </w:r>
          </w:p>
          <w:p w14:paraId="0CB4FB7E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11.不少于8个传导子，包含标准、深层、变频、穴位、聚焦等传导子；标配三个子弹和三个弹道。</w:t>
            </w:r>
          </w:p>
          <w:p w14:paraId="46D0FBA3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12.具有VAS疼痛评估模式：内置动态VAS、静态VAS、睡眠VAS、面部表情VAS，可自动对诊前和诊后的参数进行加权评估计算。</w:t>
            </w:r>
          </w:p>
          <w:p w14:paraId="3DA15703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13.自动检测手枪连接状态，具有计数、显示和重置功能。</w:t>
            </w:r>
          </w:p>
          <w:p w14:paraId="452DF537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14.具有语音播报功能，治疗开始和结束有提示音。</w:t>
            </w:r>
          </w:p>
          <w:p w14:paraId="109B5260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15.输出压力波最小脉宽180μs±10%。</w:t>
            </w:r>
          </w:p>
          <w:p w14:paraId="4343C2D4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16.具有双重过压安全装置。</w:t>
            </w:r>
          </w:p>
          <w:p w14:paraId="2F7512A5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17.内置处方不少于200个，可以根据身体部位选择相应的治疗处方。</w:t>
            </w:r>
          </w:p>
          <w:p w14:paraId="4AEE7BC3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18.至少具有5种阶梯输出控制模式，压力、频率阶梯参数可调。</w:t>
            </w:r>
          </w:p>
          <w:p w14:paraId="757E9CD4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19.系统内置患者数据库，支持20万以上用户数据量，可以方便医生对历史数据进行分析与研究，对同一个患者进行跟踪，对比分析治疗效果进行深入研究；</w:t>
            </w:r>
          </w:p>
          <w:p w14:paraId="74560C0C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
20、系统支持无线或有线打印机，将患者治疗报告进行打印输出；
</w:t>
            </w:r>
          </w:p>
          <w:p w14:paraId="3DE63366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21、系统生成的报告可以直接显示在屏幕上，也可以另存为其他格式，支持PDF\HTML\EXCEL\WORD等6种格式，支持患者数据导出到移动存储设备，方便数据分析。</w:t>
            </w:r>
          </w:p>
          <w:p w14:paraId="7CE06A31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
22、用户治疗数据完整，治疗过程数据，疼痛评估数据及曲线以及专家诊断,方便数据分析；</w:t>
            </w:r>
          </w:p>
          <w:p w14:paraId="01749CD7">
            <w:pPr>
              <w:widowControl w:val="0"/>
              <w:snapToGrid/>
              <w:spacing w:before="0" w:beforeAutospacing="0" w:after="0" w:afterAutospacing="0" w:line="240" w:lineRule="auto"/>
              <w:ind w:firstLine="0" w:firstLineChars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
23、核心部件：原装进口气泵，动力强，静音设计；输出能量稳定，SMC电磁阀，输出稳定性高。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C5267E6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597C16CF"/>
    <w:rsid w:val="65E37FAB"/>
    <w:rsid w:val="68583E1D"/>
    <w:rsid w:val="6FD24A19"/>
    <w:rsid w:val="74736F2F"/>
    <w:rsid w:val="759D7DC1"/>
    <w:rsid w:val="78C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8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892</Characters>
  <Lines>0</Lines>
  <Paragraphs>0</Paragraphs>
  <TotalTime>11</TotalTime>
  <ScaleCrop>false</ScaleCrop>
  <LinksUpToDate>false</LinksUpToDate>
  <CharactersWithSpaces>934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2025-05-06T00:37:05Z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