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7276BB">
      <w:pPr>
        <w:ind w:left="0" w:leftChars="0" w:firstLine="0" w:firstLineChars="0"/>
        <w:jc w:val="center"/>
        <w:rPr>
          <w:rFonts w:hint="eastAsia" w:ascii="华文中宋" w:hAnsi="华文中宋" w:eastAsia="华文中宋" w:cs="华文中宋"/>
          <w:b w:val="0"/>
          <w:bCs w:val="0"/>
          <w:sz w:val="44"/>
          <w:szCs w:val="32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 w:val="0"/>
          <w:sz w:val="44"/>
          <w:szCs w:val="32"/>
          <w:lang w:val="en-US" w:eastAsia="zh-CN"/>
        </w:rPr>
        <w:t>医疗设备需求参数表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9"/>
        <w:gridCol w:w="2265"/>
        <w:gridCol w:w="1591"/>
        <w:gridCol w:w="3033"/>
      </w:tblGrid>
      <w:tr w14:paraId="6F436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629" w:type="dxa"/>
          </w:tcPr>
          <w:p w14:paraId="0C8AE456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科  室</w:t>
            </w:r>
          </w:p>
        </w:tc>
        <w:tc>
          <w:tcPr>
            <w:tcW w:w="2265" w:type="dxa"/>
          </w:tcPr>
          <w:p w14:paraId="0938393B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皮肤科</w:t>
            </w:r>
          </w:p>
        </w:tc>
        <w:tc>
          <w:tcPr>
            <w:tcW w:w="1591" w:type="dxa"/>
          </w:tcPr>
          <w:p w14:paraId="6177A8B1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3033" w:type="dxa"/>
          </w:tcPr>
          <w:p w14:paraId="42E56AF5">
            <w:pPr>
              <w:widowControl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  <w:lang w:val="en-US" w:eastAsia="zh-CN" w:bidi="ar-SA"/>
              </w:rPr>
              <w:t>注射器辅助推动装置</w:t>
            </w:r>
          </w:p>
        </w:tc>
      </w:tr>
      <w:tr w14:paraId="66CD9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29" w:type="dxa"/>
          </w:tcPr>
          <w:p w14:paraId="6EB781A5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拟采购数量</w:t>
            </w:r>
          </w:p>
        </w:tc>
        <w:tc>
          <w:tcPr>
            <w:tcW w:w="2265" w:type="dxa"/>
          </w:tcPr>
          <w:p w14:paraId="44CE7EC5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1台</w:t>
            </w:r>
          </w:p>
        </w:tc>
        <w:tc>
          <w:tcPr>
            <w:tcW w:w="1591" w:type="dxa"/>
          </w:tcPr>
          <w:p w14:paraId="3514319B">
            <w:pPr>
              <w:pStyle w:val="2"/>
              <w:widowControl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参数用途</w:t>
            </w:r>
          </w:p>
        </w:tc>
        <w:tc>
          <w:tcPr>
            <w:tcW w:w="3033" w:type="dxa"/>
          </w:tcPr>
          <w:p w14:paraId="76EF6CA6">
            <w:pPr>
              <w:pStyle w:val="2"/>
              <w:widowControl w:val="0"/>
              <w:ind w:firstLine="840" w:firstLineChars="300"/>
              <w:jc w:val="both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市场调研</w:t>
            </w:r>
          </w:p>
        </w:tc>
      </w:tr>
      <w:tr w14:paraId="73AB2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8518" w:type="dxa"/>
            <w:gridSpan w:val="4"/>
          </w:tcPr>
          <w:p w14:paraId="28BB465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</w:pPr>
            <w:r>
              <w:rPr>
                <w:rFonts w:hint="eastAsia" w:ascii="仿宋" w:hAnsi="仿宋" w:eastAsia="仿宋" w:cs="仿宋"/>
                <w:highlight w:val="none"/>
                <w:vertAlign w:val="baseline"/>
                <w:lang w:val="en-US" w:eastAsia="zh-CN"/>
              </w:rPr>
              <w:t>功能需求：</w:t>
            </w:r>
          </w:p>
          <w:p w14:paraId="640CA9B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default" w:ascii="仿宋" w:hAnsi="仿宋" w:eastAsia="仿宋" w:cs="仿宋"/>
                <w:b/>
                <w:bCs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highlight w:val="none"/>
                <w:vertAlign w:val="baseline"/>
                <w:lang w:val="en-US" w:eastAsia="zh-CN"/>
              </w:rPr>
              <w:t>一、</w:t>
            </w:r>
            <w:r>
              <w:rPr>
                <w:rFonts w:ascii="仿宋" w:hAnsi="仿宋" w:eastAsia="仿宋" w:cs="仿宋"/>
                <w:b/>
                <w:bCs/>
                <w:sz w:val="28"/>
                <w:szCs w:val="21"/>
                <w:highlight w:val="none"/>
                <w:lang w:val="en-US" w:eastAsia="zh-CN"/>
              </w:rPr>
              <w:t>整机手柄配置</w:t>
            </w:r>
            <w:r>
              <w:rPr>
                <w:rFonts w:hint="default" w:ascii="仿宋" w:hAnsi="仿宋" w:eastAsia="仿宋" w:cs="仿宋"/>
                <w:b/>
                <w:bCs/>
                <w:highlight w:val="none"/>
                <w:vertAlign w:val="baseline"/>
                <w:lang w:val="en-US" w:eastAsia="zh-CN"/>
              </w:rPr>
              <w:t>:</w:t>
            </w:r>
          </w:p>
          <w:p w14:paraId="6E91780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eastAsia" w:ascii="仿宋" w:hAnsi="仿宋" w:eastAsia="仿宋" w:cs="仿宋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highlight w:val="none"/>
                <w:vertAlign w:val="baseline"/>
                <w:lang w:val="en-US" w:eastAsia="zh-CN"/>
              </w:rPr>
              <w:t>1、有针注射手柄</w:t>
            </w:r>
            <w:r>
              <w:rPr>
                <w:rFonts w:hint="eastAsia" w:ascii="仿宋" w:hAnsi="仿宋" w:eastAsia="仿宋" w:cs="仿宋"/>
                <w:highlight w:val="none"/>
                <w:vertAlign w:val="baseline"/>
                <w:lang w:val="en-US" w:eastAsia="zh-CN"/>
              </w:rPr>
              <w:t>；</w:t>
            </w:r>
          </w:p>
          <w:p w14:paraId="3CF7784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default" w:ascii="仿宋" w:hAnsi="仿宋" w:eastAsia="仿宋" w:cs="仿宋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highlight w:val="none"/>
                <w:vertAlign w:val="baseline"/>
                <w:lang w:val="en-US" w:eastAsia="zh-CN"/>
              </w:rPr>
              <w:t>2、超导手柄</w:t>
            </w:r>
            <w:r>
              <w:rPr>
                <w:rFonts w:hint="eastAsia" w:ascii="仿宋" w:hAnsi="仿宋" w:eastAsia="仿宋" w:cs="仿宋"/>
                <w:highlight w:val="none"/>
                <w:vertAlign w:val="baseline"/>
                <w:lang w:val="en-US" w:eastAsia="zh-CN"/>
              </w:rPr>
              <w:t>，</w:t>
            </w:r>
            <w:r>
              <w:rPr>
                <w:rFonts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  <w:t>医疗器械注册证需明确标注具备药物导入功能</w:t>
            </w:r>
            <w:r>
              <w:rPr>
                <w:rFonts w:hint="default" w:ascii="仿宋" w:hAnsi="仿宋" w:eastAsia="仿宋" w:cs="仿宋"/>
                <w:highlight w:val="none"/>
                <w:vertAlign w:val="baseline"/>
                <w:lang w:val="en-US" w:eastAsia="zh-CN"/>
              </w:rPr>
              <w:t>。</w:t>
            </w:r>
          </w:p>
          <w:p w14:paraId="2EFC1CB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default" w:ascii="仿宋" w:hAnsi="仿宋" w:eastAsia="仿宋" w:cs="仿宋"/>
                <w:b/>
                <w:bCs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/>
                <w:bCs/>
                <w:highlight w:val="none"/>
                <w:vertAlign w:val="baseline"/>
                <w:lang w:val="en-US" w:eastAsia="zh-CN"/>
              </w:rPr>
              <w:t>二、</w:t>
            </w:r>
            <w:r>
              <w:rPr>
                <w:rFonts w:ascii="仿宋" w:hAnsi="仿宋" w:eastAsia="仿宋" w:cs="仿宋"/>
                <w:b/>
                <w:bCs/>
                <w:sz w:val="28"/>
                <w:szCs w:val="21"/>
                <w:highlight w:val="none"/>
                <w:lang w:val="en-US" w:eastAsia="zh-CN"/>
              </w:rPr>
              <w:t>有针注射相关功能参数</w:t>
            </w:r>
            <w:r>
              <w:rPr>
                <w:rFonts w:hint="default" w:ascii="仿宋" w:hAnsi="仿宋" w:eastAsia="仿宋" w:cs="仿宋"/>
                <w:b/>
                <w:bCs/>
                <w:highlight w:val="none"/>
                <w:vertAlign w:val="baseline"/>
                <w:lang w:val="en-US" w:eastAsia="zh-CN"/>
              </w:rPr>
              <w:t>:</w:t>
            </w:r>
          </w:p>
          <w:p w14:paraId="5F41259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highlight w:val="none"/>
                <w:vertAlign w:val="baseline"/>
                <w:lang w:val="en-US" w:eastAsia="zh-CN"/>
              </w:rPr>
              <w:t>1、</w:t>
            </w:r>
            <w:r>
              <w:rPr>
                <w:rFonts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  <w:t>注射模式：具备自动注射、自动单次注射、单次注射、持续正常注射、持续慢速注射5种模式，可自由切换；</w:t>
            </w:r>
          </w:p>
          <w:p w14:paraId="73335E4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</w:pPr>
            <w:r>
              <w:rPr>
                <w:rFonts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default"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  <w:t>、</w:t>
            </w:r>
            <w:r>
              <w:rPr>
                <w:rFonts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  <w:t>注射器适配与给药剂量：适配1mL、2mL、3mL、5mL常规医用注射器；精准给药区间0.8mL-6mL，支持精细化自定义剂量调节；内置</w:t>
            </w:r>
            <w:r>
              <w:rPr>
                <w:rFonts w:hint="eastAsia"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  <w:t>≥</w:t>
            </w:r>
            <w:r>
              <w:rPr>
                <w:rFonts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  <w:t>10组临床常用配比，同时支持固定档位存储、自定义参数设置两种模式；</w:t>
            </w:r>
          </w:p>
          <w:p w14:paraId="4A5AC6B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</w:pPr>
            <w:r>
              <w:rPr>
                <w:rFonts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  <w:t>、</w:t>
            </w:r>
            <w:r>
              <w:rPr>
                <w:rFonts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  <w:t>注射速度：分慢速、正常、快速三档可调；</w:t>
            </w:r>
          </w:p>
          <w:p w14:paraId="111F483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</w:pPr>
            <w:r>
              <w:rPr>
                <w:rFonts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  <w:t>、</w:t>
            </w:r>
            <w:r>
              <w:rPr>
                <w:rFonts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  <w:t>方案存储：设备可存储不少于6组自定义注射方案；</w:t>
            </w:r>
          </w:p>
          <w:p w14:paraId="3A20462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</w:pPr>
            <w:r>
              <w:rPr>
                <w:rFonts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  <w:t>5.连续工作能力：整机连续工作时长≥4小时。</w:t>
            </w:r>
          </w:p>
          <w:p w14:paraId="6BFB4C3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default" w:ascii="仿宋" w:hAnsi="仿宋" w:eastAsia="仿宋" w:cs="仿宋"/>
                <w:b/>
                <w:bCs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/>
                <w:bCs/>
                <w:highlight w:val="none"/>
                <w:vertAlign w:val="baseline"/>
                <w:lang w:val="en-US" w:eastAsia="zh-CN"/>
              </w:rPr>
              <w:t>三、</w:t>
            </w:r>
            <w:r>
              <w:rPr>
                <w:rFonts w:ascii="仿宋" w:hAnsi="仿宋" w:eastAsia="仿宋" w:cs="仿宋"/>
                <w:b/>
                <w:bCs/>
                <w:sz w:val="28"/>
                <w:szCs w:val="21"/>
                <w:highlight w:val="none"/>
                <w:lang w:val="en-US" w:eastAsia="zh-CN"/>
              </w:rPr>
              <w:t>无针超导药物导入参数</w:t>
            </w:r>
            <w:r>
              <w:rPr>
                <w:rFonts w:hint="default" w:ascii="仿宋" w:hAnsi="仿宋" w:eastAsia="仿宋" w:cs="仿宋"/>
                <w:b/>
                <w:bCs/>
                <w:highlight w:val="none"/>
                <w:vertAlign w:val="baseline"/>
                <w:lang w:val="en-US" w:eastAsia="zh-CN"/>
              </w:rPr>
              <w:t>:</w:t>
            </w:r>
          </w:p>
          <w:p w14:paraId="162B1E4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</w:pPr>
            <w:r>
              <w:rPr>
                <w:rFonts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  <w:t>1、中频输出参数：输出2.3kHz-7.5kHz 方波，脉冲宽度 66μS-200μS；频率、脉冲宽度允许误差均为 ±10%；设备输出参数在上述区间范围内即满足要求，不强制设备同时覆盖区间全部极值；</w:t>
            </w:r>
          </w:p>
          <w:p w14:paraId="544CB970">
            <w:pPr>
              <w:widowControl w:val="0"/>
            </w:pPr>
            <w:r>
              <w:rPr>
                <w:rFonts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  <w:t>、</w:t>
            </w:r>
            <w:r>
              <w:rPr>
                <w:rFonts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  <w:t>电极要求：开展药物导入治疗需配套电极片，单电极片阻抗</w:t>
            </w:r>
            <w:r>
              <w:rPr>
                <w:rFonts w:hint="eastAsia"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  <w:t>不大于</w:t>
            </w:r>
            <w:r>
              <w:rPr>
                <w:rFonts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  <w:t>10Ω。</w:t>
            </w:r>
          </w:p>
          <w:p w14:paraId="17214ED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default" w:ascii="仿宋" w:hAnsi="仿宋" w:eastAsia="仿宋" w:cs="仿宋"/>
                <w:highlight w:val="none"/>
                <w:vertAlign w:val="baseline"/>
                <w:lang w:val="en-US" w:eastAsia="zh-CN"/>
              </w:rPr>
            </w:pPr>
          </w:p>
          <w:p w14:paraId="131F424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default" w:ascii="仿宋" w:hAnsi="仿宋" w:eastAsia="仿宋" w:cs="仿宋"/>
                <w:b/>
                <w:bCs/>
                <w:sz w:val="28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1"/>
                <w:highlight w:val="none"/>
                <w:lang w:val="en-US" w:eastAsia="zh-CN"/>
              </w:rPr>
              <w:t>四、</w:t>
            </w:r>
            <w:r>
              <w:rPr>
                <w:rFonts w:ascii="仿宋" w:hAnsi="仿宋" w:eastAsia="仿宋" w:cs="仿宋"/>
                <w:b/>
                <w:bCs/>
                <w:sz w:val="28"/>
                <w:szCs w:val="21"/>
                <w:highlight w:val="none"/>
                <w:lang w:val="en-US" w:eastAsia="zh-CN"/>
              </w:rPr>
              <w:t>合规通用要</w:t>
            </w:r>
            <w:r>
              <w:rPr>
                <w:rFonts w:hint="default" w:ascii="仿宋" w:hAnsi="仿宋" w:eastAsia="仿宋" w:cs="仿宋"/>
                <w:b/>
                <w:bCs/>
                <w:sz w:val="28"/>
                <w:szCs w:val="21"/>
                <w:highlight w:val="none"/>
                <w:lang w:val="en-US" w:eastAsia="zh-CN"/>
              </w:rPr>
              <w:t>求：</w:t>
            </w:r>
          </w:p>
          <w:p w14:paraId="01D89C9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  <w:t>1、</w:t>
            </w:r>
            <w:r>
              <w:rPr>
                <w:rFonts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  <w:t>资质：供应商须提供完整有效的医疗器械注册证、生产许可证、经营资质，设备注册证参数与实物性能一致；</w:t>
            </w:r>
          </w:p>
          <w:p w14:paraId="6D256E5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  <w:t>2、</w:t>
            </w:r>
            <w:r>
              <w:rPr>
                <w:rFonts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  <w:t>耗材：适配市面通用标准注射器、电极片，无专属垄断耗材限制；</w:t>
            </w:r>
          </w:p>
          <w:p w14:paraId="326022B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  <w:t>3、</w:t>
            </w:r>
            <w:r>
              <w:rPr>
                <w:rFonts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  <w:t>安全防护：具备参数锁定、过载保护、故障声光报警等安全功能；</w:t>
            </w:r>
          </w:p>
          <w:p w14:paraId="399DCA5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default"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  <w:t>4、</w:t>
            </w:r>
            <w:r>
              <w:rPr>
                <w:rFonts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  <w:t>售后：原厂标准质保，包含上门装机调试、医护操作培训、定期维保服务</w:t>
            </w:r>
            <w:r>
              <w:rPr>
                <w:rFonts w:hint="default"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  <w:t>。</w:t>
            </w:r>
          </w:p>
          <w:p w14:paraId="2626BDA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default" w:ascii="仿宋" w:hAnsi="仿宋" w:eastAsia="仿宋" w:cs="仿宋"/>
                <w:sz w:val="28"/>
                <w:szCs w:val="21"/>
                <w:highlight w:val="none"/>
                <w:lang w:val="en-US" w:eastAsia="zh-CN"/>
              </w:rPr>
            </w:pPr>
          </w:p>
          <w:p w14:paraId="4A7850E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120" w:afterLines="0" w:afterAutospacing="0" w:line="500" w:lineRule="exact"/>
              <w:jc w:val="both"/>
              <w:textAlignment w:val="baseline"/>
              <w:rPr>
                <w:rFonts w:hint="default" w:ascii="仿宋" w:hAnsi="仿宋" w:eastAsia="仿宋" w:cs="仿宋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1DE004CF"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p w14:paraId="61233DB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B35DD5"/>
    <w:rsid w:val="2F7470EF"/>
    <w:rsid w:val="57B248AA"/>
    <w:rsid w:val="66ED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/>
      <w:autoSpaceDE w:val="0"/>
      <w:autoSpaceDN w:val="0"/>
      <w:adjustRightInd w:val="0"/>
      <w:snapToGrid w:val="0"/>
      <w:spacing w:line="570" w:lineRule="exact"/>
      <w:ind w:firstLine="420" w:firstLineChars="200"/>
      <w:jc w:val="both"/>
      <w:textAlignment w:val="baseline"/>
    </w:pPr>
    <w:rPr>
      <w:rFonts w:ascii="Arial" w:hAnsi="Arial" w:eastAsia="仿宋_GB2312" w:cs="Arial"/>
      <w:snapToGrid w:val="0"/>
      <w:color w:val="000000"/>
      <w:kern w:val="0"/>
      <w:sz w:val="28"/>
      <w:szCs w:val="21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2026-07-10T07:12:00Z</dcterms:created>
  <dc:creator>admin</dc:creator>
  <cp:lastModifiedBy>李丹（采购科）</cp:lastModifiedBy>
  <cp:lastPrinted>2026-07-10T08:09:00Z</cp:lastPrinted>
  <dcterms:modified xsi:type="dcterms:W3CDTF">2026-07-10T08:23:58Z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KSOTemplateDocerSaveRecord">
    <vt:lpwstr>eyJoZGlkIjoiZGY5Nzk4ODM1ZTI1ZjQ5NWE4OWI3NTFmNTRiMWIzOTEiLCJ1c2VySWQiOiIxODI1MTk5MjAzIn0=</vt:lpwstr>
  </property>
  <property fmtid="{D5CDD505-2E9C-101B-9397-08002B2CF9AE}" pid="4" name="ICV">
    <vt:lpwstr>CFD0F222DE4A46B7972A059F7B3F05BF_12</vt:lpwstr>
  </property>
</Properties>
</file>